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D93" w:rsidRPr="001F6D93" w:rsidRDefault="001F6D93" w:rsidP="001F6D93">
      <w:pPr>
        <w:shd w:val="clear" w:color="auto" w:fill="FFFFFF"/>
        <w:spacing w:before="100" w:beforeAutospacing="1" w:after="100" w:afterAutospacing="1" w:line="240" w:lineRule="auto"/>
        <w:rPr>
          <w:rFonts w:ascii="Verdana" w:eastAsia="Times New Roman" w:hAnsi="Verdana" w:cs="Times New Roman"/>
          <w:color w:val="000000"/>
          <w:sz w:val="15"/>
          <w:szCs w:val="15"/>
          <w:lang w:val="en" w:eastAsia="sv-SE"/>
        </w:rPr>
      </w:pPr>
      <w:r w:rsidRPr="001F6D93">
        <w:rPr>
          <w:rFonts w:ascii="Verdana" w:eastAsia="Times New Roman" w:hAnsi="Verdana" w:cs="Times New Roman"/>
          <w:color w:val="000000"/>
          <w:sz w:val="15"/>
          <w:szCs w:val="15"/>
          <w:lang w:val="en" w:eastAsia="sv-SE"/>
        </w:rPr>
        <w:t xml:space="preserve">Citation: </w:t>
      </w:r>
      <w:r w:rsidRPr="001F6D93">
        <w:rPr>
          <w:rFonts w:ascii="Verdana" w:eastAsia="Times New Roman" w:hAnsi="Verdana" w:cs="Times New Roman"/>
          <w:i/>
          <w:iCs/>
          <w:color w:val="000000"/>
          <w:sz w:val="15"/>
          <w:szCs w:val="15"/>
          <w:lang w:val="en" w:eastAsia="sv-SE"/>
        </w:rPr>
        <w:t xml:space="preserve">CPT </w:t>
      </w:r>
      <w:proofErr w:type="spellStart"/>
      <w:r w:rsidRPr="001F6D93">
        <w:rPr>
          <w:rFonts w:ascii="Verdana" w:eastAsia="Times New Roman" w:hAnsi="Verdana" w:cs="Times New Roman"/>
          <w:i/>
          <w:iCs/>
          <w:color w:val="000000"/>
          <w:sz w:val="15"/>
          <w:szCs w:val="15"/>
          <w:lang w:val="en" w:eastAsia="sv-SE"/>
        </w:rPr>
        <w:t>Pharmacometrics</w:t>
      </w:r>
      <w:proofErr w:type="spellEnd"/>
      <w:r w:rsidRPr="001F6D93">
        <w:rPr>
          <w:rFonts w:ascii="Verdana" w:eastAsia="Times New Roman" w:hAnsi="Verdana" w:cs="Times New Roman"/>
          <w:i/>
          <w:iCs/>
          <w:color w:val="000000"/>
          <w:sz w:val="15"/>
          <w:szCs w:val="15"/>
          <w:lang w:val="en" w:eastAsia="sv-SE"/>
        </w:rPr>
        <w:t xml:space="preserve"> Syst. </w:t>
      </w:r>
      <w:proofErr w:type="spellStart"/>
      <w:r w:rsidRPr="001F6D93">
        <w:rPr>
          <w:rFonts w:ascii="Verdana" w:eastAsia="Times New Roman" w:hAnsi="Verdana" w:cs="Times New Roman"/>
          <w:i/>
          <w:iCs/>
          <w:color w:val="000000"/>
          <w:sz w:val="15"/>
          <w:szCs w:val="15"/>
          <w:lang w:val="en" w:eastAsia="sv-SE"/>
        </w:rPr>
        <w:t>Pharmacol</w:t>
      </w:r>
      <w:proofErr w:type="spellEnd"/>
      <w:r w:rsidRPr="001F6D93">
        <w:rPr>
          <w:rFonts w:ascii="Verdana" w:eastAsia="Times New Roman" w:hAnsi="Verdana" w:cs="Times New Roman"/>
          <w:i/>
          <w:iCs/>
          <w:color w:val="000000"/>
          <w:sz w:val="15"/>
          <w:szCs w:val="15"/>
          <w:lang w:val="en" w:eastAsia="sv-SE"/>
        </w:rPr>
        <w:t>.</w:t>
      </w:r>
      <w:r w:rsidRPr="001F6D93">
        <w:rPr>
          <w:rFonts w:ascii="Verdana" w:eastAsia="Times New Roman" w:hAnsi="Verdana" w:cs="Times New Roman"/>
          <w:color w:val="000000"/>
          <w:sz w:val="15"/>
          <w:szCs w:val="15"/>
          <w:lang w:val="en" w:eastAsia="sv-SE"/>
        </w:rPr>
        <w:t xml:space="preserve"> (2012) </w:t>
      </w:r>
      <w:r w:rsidRPr="001F6D93">
        <w:rPr>
          <w:rFonts w:ascii="Verdana" w:eastAsia="Times New Roman" w:hAnsi="Verdana" w:cs="Times New Roman"/>
          <w:b/>
          <w:bCs/>
          <w:color w:val="000000"/>
          <w:sz w:val="15"/>
          <w:szCs w:val="15"/>
          <w:lang w:val="en" w:eastAsia="sv-SE"/>
        </w:rPr>
        <w:t>1</w:t>
      </w:r>
      <w:r w:rsidRPr="001F6D93">
        <w:rPr>
          <w:rFonts w:ascii="Verdana" w:eastAsia="Times New Roman" w:hAnsi="Verdana" w:cs="Times New Roman"/>
          <w:color w:val="000000"/>
          <w:sz w:val="15"/>
          <w:szCs w:val="15"/>
          <w:lang w:val="en" w:eastAsia="sv-SE"/>
        </w:rPr>
        <w:t>, e18; doi:10.1038/psp.2012.19</w:t>
      </w:r>
      <w:r w:rsidRPr="001F6D93">
        <w:rPr>
          <w:rFonts w:ascii="Verdana" w:eastAsia="Times New Roman" w:hAnsi="Verdana" w:cs="Times New Roman"/>
          <w:color w:val="000000"/>
          <w:sz w:val="15"/>
          <w:szCs w:val="15"/>
          <w:lang w:val="en" w:eastAsia="sv-SE"/>
        </w:rPr>
        <w:br/>
        <w:t>Published online 19 December 2012</w:t>
      </w:r>
    </w:p>
    <w:p w:rsidR="001F6D93" w:rsidRPr="001F6D93" w:rsidRDefault="001F6D93" w:rsidP="001F6D93">
      <w:pPr>
        <w:shd w:val="clear" w:color="auto" w:fill="FFFFFF"/>
        <w:spacing w:before="100" w:beforeAutospacing="1" w:after="100" w:afterAutospacing="1" w:line="240" w:lineRule="auto"/>
        <w:outlineLvl w:val="1"/>
        <w:rPr>
          <w:rFonts w:ascii="Verdana" w:eastAsia="Times New Roman" w:hAnsi="Verdana" w:cs="Times New Roman"/>
          <w:color w:val="000000"/>
          <w:sz w:val="29"/>
          <w:szCs w:val="29"/>
          <w:lang w:val="en" w:eastAsia="sv-SE"/>
        </w:rPr>
      </w:pPr>
      <w:r w:rsidRPr="001F6D93">
        <w:rPr>
          <w:rFonts w:ascii="Verdana" w:eastAsia="Times New Roman" w:hAnsi="Verdana" w:cs="Times New Roman"/>
          <w:color w:val="000000"/>
          <w:sz w:val="29"/>
          <w:szCs w:val="29"/>
          <w:lang w:val="en" w:eastAsia="sv-SE"/>
        </w:rPr>
        <w:t>“Quantitative Pharmacology: An introduction to integrative pharmacokinetic-</w:t>
      </w:r>
      <w:proofErr w:type="spellStart"/>
      <w:r w:rsidRPr="001F6D93">
        <w:rPr>
          <w:rFonts w:ascii="Verdana" w:eastAsia="Times New Roman" w:hAnsi="Verdana" w:cs="Times New Roman"/>
          <w:color w:val="000000"/>
          <w:sz w:val="29"/>
          <w:szCs w:val="29"/>
          <w:lang w:val="en" w:eastAsia="sv-SE"/>
        </w:rPr>
        <w:t>pharmacodynamic</w:t>
      </w:r>
      <w:proofErr w:type="spellEnd"/>
      <w:r w:rsidRPr="001F6D93">
        <w:rPr>
          <w:rFonts w:ascii="Verdana" w:eastAsia="Times New Roman" w:hAnsi="Verdana" w:cs="Times New Roman"/>
          <w:color w:val="000000"/>
          <w:sz w:val="29"/>
          <w:szCs w:val="29"/>
          <w:lang w:val="en" w:eastAsia="sv-SE"/>
        </w:rPr>
        <w:t xml:space="preserve"> analysis”</w:t>
      </w:r>
      <w:r w:rsidRPr="001F6D93">
        <w:rPr>
          <w:rFonts w:ascii="Verdana" w:eastAsia="Times New Roman" w:hAnsi="Verdana" w:cs="Times New Roman"/>
          <w:color w:val="000000"/>
          <w:sz w:val="29"/>
          <w:szCs w:val="29"/>
          <w:lang w:val="en" w:eastAsia="sv-SE"/>
        </w:rPr>
        <w:br/>
      </w:r>
      <w:r w:rsidRPr="001F6D93">
        <w:rPr>
          <w:rFonts w:ascii="Verdana" w:eastAsia="Times New Roman" w:hAnsi="Verdana" w:cs="Times New Roman"/>
          <w:color w:val="F5821F"/>
          <w:sz w:val="23"/>
          <w:szCs w:val="23"/>
          <w:lang w:val="en" w:eastAsia="sv-SE"/>
        </w:rPr>
        <w:t>Open</w:t>
      </w:r>
    </w:p>
    <w:p w:rsidR="001F6D93" w:rsidRPr="001F6D93" w:rsidRDefault="001F6D93" w:rsidP="001F6D93">
      <w:pPr>
        <w:shd w:val="clear" w:color="auto" w:fill="FFFFFF"/>
        <w:spacing w:before="100" w:beforeAutospacing="1" w:after="100" w:afterAutospacing="1" w:line="240" w:lineRule="auto"/>
        <w:rPr>
          <w:rFonts w:ascii="Verdana" w:eastAsia="Times New Roman" w:hAnsi="Verdana" w:cs="Times New Roman"/>
          <w:color w:val="000000"/>
          <w:sz w:val="20"/>
          <w:szCs w:val="20"/>
          <w:lang w:val="en" w:eastAsia="sv-SE"/>
        </w:rPr>
      </w:pPr>
      <w:r w:rsidRPr="001F6D93">
        <w:rPr>
          <w:rFonts w:ascii="Verdana" w:eastAsia="Times New Roman" w:hAnsi="Verdana" w:cs="Times New Roman"/>
          <w:color w:val="000000"/>
          <w:sz w:val="20"/>
          <w:szCs w:val="20"/>
          <w:lang w:val="en" w:eastAsia="sv-SE"/>
        </w:rPr>
        <w:t>Reviewed by P J Lowe</w:t>
      </w:r>
      <w:hyperlink r:id="rId4" w:anchor="aff1" w:tooltip="affiliated with 1" w:history="1">
        <w:r w:rsidRPr="001F6D93">
          <w:rPr>
            <w:rFonts w:ascii="Verdana" w:eastAsia="Times New Roman" w:hAnsi="Verdana" w:cs="Times New Roman"/>
            <w:color w:val="3366CC"/>
            <w:sz w:val="20"/>
            <w:szCs w:val="20"/>
            <w:u w:val="single"/>
            <w:vertAlign w:val="superscript"/>
            <w:lang w:val="en" w:eastAsia="sv-SE"/>
          </w:rPr>
          <w:t>1</w:t>
        </w:r>
      </w:hyperlink>
    </w:p>
    <w:p w:rsidR="001F6D93" w:rsidRPr="001F6D93" w:rsidRDefault="001F6D93" w:rsidP="001F6D93">
      <w:pPr>
        <w:shd w:val="clear" w:color="auto" w:fill="FFFFFF"/>
        <w:spacing w:before="100" w:beforeAutospacing="1" w:after="100" w:afterAutospacing="1" w:line="240" w:lineRule="auto"/>
        <w:rPr>
          <w:rFonts w:ascii="Verdana" w:eastAsia="Times New Roman" w:hAnsi="Verdana" w:cs="Times New Roman"/>
          <w:color w:val="000000"/>
          <w:sz w:val="15"/>
          <w:szCs w:val="15"/>
          <w:lang w:val="en" w:eastAsia="sv-SE"/>
        </w:rPr>
      </w:pPr>
      <w:bookmarkStart w:id="0" w:name="aff1"/>
      <w:r w:rsidRPr="001F6D93">
        <w:rPr>
          <w:rFonts w:ascii="Verdana" w:eastAsia="Times New Roman" w:hAnsi="Verdana" w:cs="Times New Roman"/>
          <w:color w:val="000000"/>
          <w:sz w:val="15"/>
          <w:szCs w:val="15"/>
          <w:vertAlign w:val="superscript"/>
          <w:lang w:val="en" w:eastAsia="sv-SE"/>
        </w:rPr>
        <w:t>1</w:t>
      </w:r>
      <w:bookmarkEnd w:id="0"/>
      <w:r w:rsidRPr="001F6D93">
        <w:rPr>
          <w:rFonts w:ascii="Verdana" w:eastAsia="Times New Roman" w:hAnsi="Verdana" w:cs="Times New Roman"/>
          <w:color w:val="000000"/>
          <w:sz w:val="15"/>
          <w:szCs w:val="15"/>
          <w:lang w:val="en" w:eastAsia="sv-SE"/>
        </w:rPr>
        <w:t>Modelling &amp; Simulation, Novartis Pharma AG, Basel, Switzerland</w:t>
      </w:r>
    </w:p>
    <w:p w:rsidR="001F6D93" w:rsidRPr="001F6D93" w:rsidRDefault="001F6D93" w:rsidP="001F6D93">
      <w:pPr>
        <w:shd w:val="clear" w:color="auto" w:fill="FFFFFF"/>
        <w:spacing w:before="100" w:beforeAutospacing="1" w:after="100" w:afterAutospacing="1" w:line="240" w:lineRule="auto"/>
        <w:rPr>
          <w:rFonts w:ascii="Verdana" w:eastAsia="Times New Roman" w:hAnsi="Verdana" w:cs="Times New Roman"/>
          <w:color w:val="000000"/>
          <w:sz w:val="15"/>
          <w:szCs w:val="15"/>
          <w:lang w:val="en" w:eastAsia="sv-SE"/>
        </w:rPr>
      </w:pPr>
      <w:r w:rsidRPr="001F6D93">
        <w:rPr>
          <w:rFonts w:ascii="Verdana" w:eastAsia="Times New Roman" w:hAnsi="Verdana" w:cs="Times New Roman"/>
          <w:color w:val="000000"/>
          <w:sz w:val="15"/>
          <w:szCs w:val="15"/>
          <w:lang w:val="en" w:eastAsia="sv-SE"/>
        </w:rPr>
        <w:t>Correspondence: PJ Lowe, (</w:t>
      </w:r>
      <w:hyperlink r:id="rId5" w:history="1">
        <w:r w:rsidRPr="001F6D93">
          <w:rPr>
            <w:rFonts w:ascii="Verdana" w:eastAsia="Times New Roman" w:hAnsi="Verdana" w:cs="Times New Roman"/>
            <w:color w:val="3366CC"/>
            <w:sz w:val="15"/>
            <w:szCs w:val="15"/>
            <w:u w:val="single"/>
            <w:lang w:val="en" w:eastAsia="sv-SE"/>
          </w:rPr>
          <w:t>phil.lowe@novartis.com</w:t>
        </w:r>
      </w:hyperlink>
      <w:r w:rsidRPr="001F6D93">
        <w:rPr>
          <w:rFonts w:ascii="Verdana" w:eastAsia="Times New Roman" w:hAnsi="Verdana" w:cs="Times New Roman"/>
          <w:color w:val="000000"/>
          <w:sz w:val="15"/>
          <w:szCs w:val="15"/>
          <w:lang w:val="en" w:eastAsia="sv-SE"/>
        </w:rPr>
        <w:t>)</w:t>
      </w:r>
    </w:p>
    <w:p w:rsidR="001F6D93" w:rsidRPr="001F6D93" w:rsidRDefault="001F6D93" w:rsidP="001F6D93">
      <w:pPr>
        <w:shd w:val="clear" w:color="auto" w:fill="FFFFFF"/>
        <w:spacing w:before="240" w:after="240" w:line="240" w:lineRule="auto"/>
        <w:rPr>
          <w:rFonts w:ascii="Verdana" w:eastAsia="Times New Roman" w:hAnsi="Verdana" w:cs="Times New Roman"/>
          <w:color w:val="000000"/>
          <w:sz w:val="20"/>
          <w:szCs w:val="20"/>
          <w:lang w:val="en" w:eastAsia="sv-SE"/>
        </w:rPr>
      </w:pPr>
      <w:r w:rsidRPr="001F6D93">
        <w:rPr>
          <w:rFonts w:ascii="Verdana" w:eastAsia="Times New Roman" w:hAnsi="Verdana" w:cs="Times New Roman"/>
          <w:noProof/>
          <w:color w:val="000000"/>
          <w:sz w:val="20"/>
          <w:szCs w:val="20"/>
          <w:lang w:eastAsia="sv-SE"/>
        </w:rPr>
        <w:drawing>
          <wp:inline distT="0" distB="0" distL="0" distR="0">
            <wp:extent cx="1905000" cy="2762250"/>
            <wp:effectExtent l="0" t="0" r="0" b="0"/>
            <wp:docPr id="1" name="Bildobjekt 1" descr="Unfortunately we are unable to provide accessible alternative text for this. If you require assistance to access this image, please contact help@nature.com or the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ortunately we are unable to provide accessible alternative text for this. If you require assistance to access this image, please contact help@nature.com or the auth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762250"/>
                    </a:xfrm>
                    <a:prstGeom prst="rect">
                      <a:avLst/>
                    </a:prstGeom>
                    <a:noFill/>
                    <a:ln>
                      <a:noFill/>
                    </a:ln>
                  </pic:spPr>
                </pic:pic>
              </a:graphicData>
            </a:graphic>
          </wp:inline>
        </w:drawing>
      </w:r>
      <w:r w:rsidRPr="001F6D93">
        <w:rPr>
          <w:rFonts w:ascii="Verdana" w:eastAsia="Times New Roman" w:hAnsi="Verdana" w:cs="Times New Roman"/>
          <w:b/>
          <w:bCs/>
          <w:color w:val="000000"/>
          <w:sz w:val="20"/>
          <w:szCs w:val="20"/>
          <w:u w:val="single"/>
          <w:lang w:val="en" w:eastAsia="sv-SE"/>
        </w:rPr>
        <w:t>Edited by Johan Gabrielsson and Stephan Hjorth</w:t>
      </w:r>
    </w:p>
    <w:p w:rsidR="001F6D93" w:rsidRPr="001F6D93" w:rsidRDefault="001F6D93" w:rsidP="001F6D93">
      <w:pPr>
        <w:shd w:val="clear" w:color="auto" w:fill="FFFFFF"/>
        <w:spacing w:before="240" w:after="240" w:line="240" w:lineRule="auto"/>
        <w:rPr>
          <w:rFonts w:ascii="Verdana" w:eastAsia="Times New Roman" w:hAnsi="Verdana" w:cs="Times New Roman"/>
          <w:color w:val="000000"/>
          <w:sz w:val="20"/>
          <w:szCs w:val="20"/>
          <w:lang w:val="en" w:eastAsia="sv-SE"/>
        </w:rPr>
      </w:pPr>
      <w:r w:rsidRPr="001F6D93">
        <w:rPr>
          <w:rFonts w:ascii="Verdana" w:eastAsia="Times New Roman" w:hAnsi="Verdana" w:cs="Times New Roman"/>
          <w:color w:val="000000"/>
          <w:sz w:val="20"/>
          <w:szCs w:val="20"/>
          <w:u w:val="single"/>
          <w:lang w:val="en" w:eastAsia="sv-SE"/>
        </w:rPr>
        <w:t>Swedish Pharmaceutical Press, 2012</w:t>
      </w:r>
    </w:p>
    <w:p w:rsidR="001F6D93" w:rsidRPr="001F6D93" w:rsidRDefault="001F6D93" w:rsidP="001F6D93">
      <w:pPr>
        <w:shd w:val="clear" w:color="auto" w:fill="FFFFFF"/>
        <w:spacing w:before="240" w:after="240" w:line="240" w:lineRule="auto"/>
        <w:rPr>
          <w:rFonts w:ascii="Verdana" w:eastAsia="Times New Roman" w:hAnsi="Verdana" w:cs="Times New Roman"/>
          <w:color w:val="000000"/>
          <w:sz w:val="20"/>
          <w:szCs w:val="20"/>
          <w:lang w:val="en" w:eastAsia="sv-SE"/>
        </w:rPr>
      </w:pPr>
      <w:r w:rsidRPr="001F6D93">
        <w:rPr>
          <w:rFonts w:ascii="Verdana" w:eastAsia="Times New Roman" w:hAnsi="Verdana" w:cs="Times New Roman"/>
          <w:color w:val="000000"/>
          <w:sz w:val="20"/>
          <w:szCs w:val="20"/>
          <w:u w:val="single"/>
          <w:lang w:val="en" w:eastAsia="sv-SE"/>
        </w:rPr>
        <w:t xml:space="preserve">264 pp., hardcover, </w:t>
      </w:r>
      <w:r w:rsidRPr="001F6D93">
        <w:rPr>
          <w:rFonts w:ascii="Arial Unicode MS" w:eastAsia="Arial Unicode MS" w:hAnsi="Arial Unicode MS" w:cs="Arial Unicode MS"/>
          <w:color w:val="000000"/>
          <w:sz w:val="20"/>
          <w:szCs w:val="20"/>
          <w:u w:val="single"/>
          <w:lang w:val="en" w:eastAsia="sv-SE"/>
        </w:rPr>
        <w:t>$</w:t>
      </w:r>
      <w:r w:rsidRPr="001F6D93">
        <w:rPr>
          <w:rFonts w:ascii="Verdana" w:eastAsia="Times New Roman" w:hAnsi="Verdana" w:cs="Times New Roman"/>
          <w:color w:val="000000"/>
          <w:sz w:val="20"/>
          <w:szCs w:val="20"/>
          <w:u w:val="single"/>
          <w:lang w:val="en" w:eastAsia="sv-SE"/>
        </w:rPr>
        <w:t>139.95</w:t>
      </w:r>
    </w:p>
    <w:p w:rsidR="001F6D93" w:rsidRPr="001F6D93" w:rsidRDefault="001F6D93" w:rsidP="001F6D93">
      <w:pPr>
        <w:shd w:val="clear" w:color="auto" w:fill="FFFFFF"/>
        <w:spacing w:before="240" w:after="240" w:line="240" w:lineRule="auto"/>
        <w:rPr>
          <w:rFonts w:ascii="Verdana" w:eastAsia="Times New Roman" w:hAnsi="Verdana" w:cs="Times New Roman"/>
          <w:color w:val="000000"/>
          <w:sz w:val="20"/>
          <w:szCs w:val="20"/>
          <w:lang w:val="en" w:eastAsia="sv-SE"/>
        </w:rPr>
      </w:pPr>
      <w:r w:rsidRPr="001F6D93">
        <w:rPr>
          <w:rFonts w:ascii="Verdana" w:eastAsia="Times New Roman" w:hAnsi="Verdana" w:cs="Times New Roman"/>
          <w:color w:val="000000"/>
          <w:sz w:val="20"/>
          <w:szCs w:val="20"/>
          <w:u w:val="single"/>
          <w:lang w:val="en" w:eastAsia="sv-SE"/>
        </w:rPr>
        <w:t>ISBN 9781466560314</w:t>
      </w:r>
    </w:p>
    <w:p w:rsidR="001F6D93" w:rsidRPr="001F6D93" w:rsidRDefault="001F6D93" w:rsidP="001F6D93">
      <w:pPr>
        <w:shd w:val="clear" w:color="auto" w:fill="FFFFFF"/>
        <w:spacing w:before="240" w:after="240" w:line="240" w:lineRule="auto"/>
        <w:rPr>
          <w:rFonts w:ascii="Verdana" w:eastAsia="Times New Roman" w:hAnsi="Verdana" w:cs="Times New Roman"/>
          <w:color w:val="000000"/>
          <w:sz w:val="20"/>
          <w:szCs w:val="20"/>
          <w:lang w:val="en" w:eastAsia="sv-SE"/>
        </w:rPr>
      </w:pPr>
      <w:r w:rsidRPr="001F6D93">
        <w:rPr>
          <w:rFonts w:ascii="Verdana" w:eastAsia="Times New Roman" w:hAnsi="Verdana" w:cs="Times New Roman"/>
          <w:color w:val="000000"/>
          <w:sz w:val="20"/>
          <w:szCs w:val="20"/>
          <w:lang w:val="en" w:eastAsia="sv-SE"/>
        </w:rPr>
        <w:t>What is “</w:t>
      </w:r>
      <w:r w:rsidRPr="001F6D93">
        <w:rPr>
          <w:rFonts w:ascii="Verdana" w:eastAsia="Times New Roman" w:hAnsi="Verdana" w:cs="Times New Roman"/>
          <w:i/>
          <w:iCs/>
          <w:color w:val="000000"/>
          <w:sz w:val="20"/>
          <w:szCs w:val="20"/>
          <w:lang w:val="en" w:eastAsia="sv-SE"/>
        </w:rPr>
        <w:t>Quantitative Pharmacology</w:t>
      </w:r>
      <w:r w:rsidRPr="001F6D93">
        <w:rPr>
          <w:rFonts w:ascii="Verdana" w:eastAsia="Times New Roman" w:hAnsi="Verdana" w:cs="Times New Roman"/>
          <w:color w:val="000000"/>
          <w:sz w:val="20"/>
          <w:szCs w:val="20"/>
          <w:lang w:val="en" w:eastAsia="sv-SE"/>
        </w:rPr>
        <w:t>”? Surely, pharmacologists have long quantitated responses through parameters such as ED</w:t>
      </w:r>
      <w:r w:rsidRPr="001F6D93">
        <w:rPr>
          <w:rFonts w:ascii="Verdana" w:eastAsia="Times New Roman" w:hAnsi="Verdana" w:cs="Times New Roman"/>
          <w:color w:val="000000"/>
          <w:sz w:val="20"/>
          <w:szCs w:val="20"/>
          <w:vertAlign w:val="subscript"/>
          <w:lang w:val="en" w:eastAsia="sv-SE"/>
        </w:rPr>
        <w:t>50</w:t>
      </w:r>
      <w:r w:rsidRPr="001F6D93">
        <w:rPr>
          <w:rFonts w:ascii="Verdana" w:eastAsia="Times New Roman" w:hAnsi="Verdana" w:cs="Times New Roman"/>
          <w:color w:val="000000"/>
          <w:sz w:val="20"/>
          <w:szCs w:val="20"/>
          <w:lang w:val="en" w:eastAsia="sv-SE"/>
        </w:rPr>
        <w:t xml:space="preserve"> or EC</w:t>
      </w:r>
      <w:r w:rsidRPr="001F6D93">
        <w:rPr>
          <w:rFonts w:ascii="Verdana" w:eastAsia="Times New Roman" w:hAnsi="Verdana" w:cs="Times New Roman"/>
          <w:color w:val="000000"/>
          <w:sz w:val="20"/>
          <w:szCs w:val="20"/>
          <w:vertAlign w:val="subscript"/>
          <w:lang w:val="en" w:eastAsia="sv-SE"/>
        </w:rPr>
        <w:t>50</w:t>
      </w:r>
      <w:r w:rsidRPr="001F6D93">
        <w:rPr>
          <w:rFonts w:ascii="Verdana" w:eastAsia="Times New Roman" w:hAnsi="Verdana" w:cs="Times New Roman"/>
          <w:color w:val="000000"/>
          <w:sz w:val="20"/>
          <w:szCs w:val="20"/>
          <w:lang w:val="en" w:eastAsia="sv-SE"/>
        </w:rPr>
        <w:t>, the dose or concentration for half-maximum effect, seeking to understand the influence of many factors, whether they be drug structure or patient-disease related. In “</w:t>
      </w:r>
      <w:r w:rsidRPr="001F6D93">
        <w:rPr>
          <w:rFonts w:ascii="Verdana" w:eastAsia="Times New Roman" w:hAnsi="Verdana" w:cs="Times New Roman"/>
          <w:i/>
          <w:iCs/>
          <w:color w:val="000000"/>
          <w:sz w:val="20"/>
          <w:szCs w:val="20"/>
          <w:lang w:val="en" w:eastAsia="sv-SE"/>
        </w:rPr>
        <w:t>Quantitative Pharmacology</w:t>
      </w:r>
      <w:r w:rsidRPr="001F6D93">
        <w:rPr>
          <w:rFonts w:ascii="Verdana" w:eastAsia="Times New Roman" w:hAnsi="Verdana" w:cs="Times New Roman"/>
          <w:color w:val="000000"/>
          <w:sz w:val="20"/>
          <w:szCs w:val="20"/>
          <w:lang w:val="en" w:eastAsia="sv-SE"/>
        </w:rPr>
        <w:t xml:space="preserve">,” Gabrielsson and Hjorth explain that it is the integration of key time-dependent processes </w:t>
      </w:r>
      <w:r w:rsidRPr="001F6D93">
        <w:rPr>
          <w:rFonts w:ascii="Verdana" w:eastAsia="Times New Roman" w:hAnsi="Verdana" w:cs="Times New Roman"/>
          <w:i/>
          <w:iCs/>
          <w:color w:val="000000"/>
          <w:sz w:val="20"/>
          <w:szCs w:val="20"/>
          <w:lang w:val="en" w:eastAsia="sv-SE"/>
        </w:rPr>
        <w:t>in vivo</w:t>
      </w:r>
      <w:r w:rsidRPr="001F6D93">
        <w:rPr>
          <w:rFonts w:ascii="Verdana" w:eastAsia="Times New Roman" w:hAnsi="Verdana" w:cs="Times New Roman"/>
          <w:color w:val="000000"/>
          <w:sz w:val="20"/>
          <w:szCs w:val="20"/>
          <w:lang w:val="en" w:eastAsia="sv-SE"/>
        </w:rPr>
        <w:t>: pharmacokinetics (PK; absorption; distribution to target and other sites; binding to target and nonspecific entities; elimination) and pharmacodynamics (PD; target binding driving system–related responses, whether in parallel or a causal series). These fit together in the context of how, after a lead candidate is discovered, a drug should be optimized by taking account of all aspects to be successfully developed as a marketable product.</w:t>
      </w:r>
    </w:p>
    <w:p w:rsidR="001F6D93" w:rsidRPr="001F6D93" w:rsidRDefault="001F6D93" w:rsidP="001F6D93">
      <w:pPr>
        <w:shd w:val="clear" w:color="auto" w:fill="FFFFFF"/>
        <w:spacing w:before="240" w:after="240" w:line="240" w:lineRule="auto"/>
        <w:rPr>
          <w:rFonts w:ascii="Verdana" w:eastAsia="Times New Roman" w:hAnsi="Verdana" w:cs="Times New Roman"/>
          <w:color w:val="000000"/>
          <w:sz w:val="20"/>
          <w:szCs w:val="20"/>
          <w:lang w:val="en" w:eastAsia="sv-SE"/>
        </w:rPr>
      </w:pPr>
      <w:r w:rsidRPr="001F6D93">
        <w:rPr>
          <w:rFonts w:ascii="Verdana" w:eastAsia="Times New Roman" w:hAnsi="Verdana" w:cs="Times New Roman"/>
          <w:color w:val="000000"/>
          <w:sz w:val="20"/>
          <w:szCs w:val="20"/>
          <w:lang w:val="en" w:eastAsia="sv-SE"/>
        </w:rPr>
        <w:t xml:space="preserve">Beyond the introduction, there are six further chapters. In “Kinetics from a PD point of view,” the essentials of clearance (CL) and </w:t>
      </w:r>
      <w:proofErr w:type="spellStart"/>
      <w:r w:rsidRPr="001F6D93">
        <w:rPr>
          <w:rFonts w:ascii="Verdana" w:eastAsia="Times New Roman" w:hAnsi="Verdana" w:cs="Times New Roman"/>
          <w:color w:val="000000"/>
          <w:sz w:val="20"/>
          <w:szCs w:val="20"/>
          <w:lang w:val="en" w:eastAsia="sv-SE"/>
        </w:rPr>
        <w:t>multicompartmental</w:t>
      </w:r>
      <w:proofErr w:type="spellEnd"/>
      <w:r w:rsidRPr="001F6D93">
        <w:rPr>
          <w:rFonts w:ascii="Verdana" w:eastAsia="Times New Roman" w:hAnsi="Verdana" w:cs="Times New Roman"/>
          <w:color w:val="000000"/>
          <w:sz w:val="20"/>
          <w:szCs w:val="20"/>
          <w:lang w:val="en" w:eastAsia="sv-SE"/>
        </w:rPr>
        <w:t xml:space="preserve"> behaviors are covered, including a diagram well illustrating the filling and emptying of compartments in the initial and terminal phases of plasma drug concentration–time profiles. From a PD point of view, the concept of the “effective half-life” of a compound is important, i.e., that which covers the majority of the exposure (</w:t>
      </w:r>
      <w:r w:rsidRPr="001F6D93">
        <w:rPr>
          <w:rFonts w:ascii="Verdana" w:eastAsia="Times New Roman" w:hAnsi="Verdana" w:cs="Times New Roman"/>
          <w:i/>
          <w:iCs/>
          <w:color w:val="000000"/>
          <w:sz w:val="20"/>
          <w:szCs w:val="20"/>
          <w:lang w:val="en" w:eastAsia="sv-SE"/>
        </w:rPr>
        <w:t>aka</w:t>
      </w:r>
      <w:r w:rsidRPr="001F6D93">
        <w:rPr>
          <w:rFonts w:ascii="Verdana" w:eastAsia="Times New Roman" w:hAnsi="Verdana" w:cs="Times New Roman"/>
          <w:color w:val="000000"/>
          <w:sz w:val="20"/>
          <w:szCs w:val="20"/>
          <w:lang w:val="en" w:eastAsia="sv-SE"/>
        </w:rPr>
        <w:t xml:space="preserve"> area under the curve). Perhaps, there should be a renaissance of the mean residence time, the effective half-life being this multiplied by </w:t>
      </w:r>
      <w:proofErr w:type="gramStart"/>
      <w:r w:rsidRPr="001F6D93">
        <w:rPr>
          <w:rFonts w:ascii="Verdana" w:eastAsia="Times New Roman" w:hAnsi="Verdana" w:cs="Times New Roman"/>
          <w:color w:val="000000"/>
          <w:sz w:val="20"/>
          <w:szCs w:val="20"/>
          <w:lang w:val="en" w:eastAsia="sv-SE"/>
        </w:rPr>
        <w:t>log</w:t>
      </w:r>
      <w:r w:rsidRPr="001F6D93">
        <w:rPr>
          <w:rFonts w:ascii="Verdana" w:eastAsia="Times New Roman" w:hAnsi="Verdana" w:cs="Times New Roman"/>
          <w:color w:val="000000"/>
          <w:sz w:val="20"/>
          <w:szCs w:val="20"/>
          <w:vertAlign w:val="subscript"/>
          <w:lang w:val="en" w:eastAsia="sv-SE"/>
        </w:rPr>
        <w:t>e</w:t>
      </w:r>
      <w:r w:rsidRPr="001F6D93">
        <w:rPr>
          <w:rFonts w:ascii="Verdana" w:eastAsia="Times New Roman" w:hAnsi="Verdana" w:cs="Times New Roman"/>
          <w:color w:val="000000"/>
          <w:sz w:val="20"/>
          <w:szCs w:val="20"/>
          <w:lang w:val="en" w:eastAsia="sv-SE"/>
        </w:rPr>
        <w:t>(</w:t>
      </w:r>
      <w:proofErr w:type="gramEnd"/>
      <w:r w:rsidRPr="001F6D93">
        <w:rPr>
          <w:rFonts w:ascii="Verdana" w:eastAsia="Times New Roman" w:hAnsi="Verdana" w:cs="Times New Roman"/>
          <w:color w:val="000000"/>
          <w:sz w:val="20"/>
          <w:szCs w:val="20"/>
          <w:lang w:val="en" w:eastAsia="sv-SE"/>
        </w:rPr>
        <w:t>2).</w:t>
      </w:r>
    </w:p>
    <w:p w:rsidR="001F6D93" w:rsidRPr="001F6D93" w:rsidRDefault="001F6D93" w:rsidP="001F6D93">
      <w:pPr>
        <w:shd w:val="clear" w:color="auto" w:fill="FFFFFF"/>
        <w:spacing w:before="240" w:after="240" w:line="240" w:lineRule="auto"/>
        <w:rPr>
          <w:rFonts w:ascii="Verdana" w:eastAsia="Times New Roman" w:hAnsi="Verdana" w:cs="Times New Roman"/>
          <w:color w:val="000000"/>
          <w:sz w:val="20"/>
          <w:szCs w:val="20"/>
          <w:lang w:val="en" w:eastAsia="sv-SE"/>
        </w:rPr>
      </w:pPr>
      <w:r w:rsidRPr="001F6D93">
        <w:rPr>
          <w:rFonts w:ascii="Verdana" w:eastAsia="Times New Roman" w:hAnsi="Verdana" w:cs="Times New Roman"/>
          <w:color w:val="000000"/>
          <w:sz w:val="20"/>
          <w:szCs w:val="20"/>
          <w:lang w:val="en" w:eastAsia="sv-SE"/>
        </w:rPr>
        <w:t xml:space="preserve">In “Plasma protein binding,” the hypothesis for the unbound drug being the driver of PD responses is presented. From a discovery point of view, compounds should not only be optimized for target binding potency but also for low unbound CL to maximize tissue equilibrating unbound drug concentrations. In the end, it is the </w:t>
      </w:r>
      <w:proofErr w:type="spellStart"/>
      <w:r w:rsidRPr="001F6D93">
        <w:rPr>
          <w:rFonts w:ascii="Verdana" w:eastAsia="Times New Roman" w:hAnsi="Verdana" w:cs="Times New Roman"/>
          <w:color w:val="000000"/>
          <w:sz w:val="20"/>
          <w:szCs w:val="20"/>
          <w:lang w:val="en" w:eastAsia="sv-SE"/>
        </w:rPr>
        <w:t>trade off</w:t>
      </w:r>
      <w:proofErr w:type="spellEnd"/>
      <w:r w:rsidRPr="001F6D93">
        <w:rPr>
          <w:rFonts w:ascii="Verdana" w:eastAsia="Times New Roman" w:hAnsi="Verdana" w:cs="Times New Roman"/>
          <w:color w:val="000000"/>
          <w:sz w:val="20"/>
          <w:szCs w:val="20"/>
          <w:lang w:val="en" w:eastAsia="sv-SE"/>
        </w:rPr>
        <w:t xml:space="preserve"> between potency (e.g., </w:t>
      </w:r>
      <w:r w:rsidRPr="001F6D93">
        <w:rPr>
          <w:rFonts w:ascii="Verdana" w:eastAsia="Times New Roman" w:hAnsi="Verdana" w:cs="Times New Roman"/>
          <w:i/>
          <w:iCs/>
          <w:color w:val="000000"/>
          <w:sz w:val="20"/>
          <w:szCs w:val="20"/>
          <w:lang w:val="en" w:eastAsia="sv-SE"/>
        </w:rPr>
        <w:t>K</w:t>
      </w:r>
      <w:r w:rsidRPr="001F6D93">
        <w:rPr>
          <w:rFonts w:ascii="Verdana" w:eastAsia="Times New Roman" w:hAnsi="Verdana" w:cs="Times New Roman"/>
          <w:color w:val="000000"/>
          <w:sz w:val="20"/>
          <w:szCs w:val="20"/>
          <w:vertAlign w:val="subscript"/>
          <w:lang w:val="en" w:eastAsia="sv-SE"/>
        </w:rPr>
        <w:t>i</w:t>
      </w:r>
      <w:r w:rsidRPr="001F6D93">
        <w:rPr>
          <w:rFonts w:ascii="Verdana" w:eastAsia="Times New Roman" w:hAnsi="Verdana" w:cs="Times New Roman"/>
          <w:color w:val="000000"/>
          <w:sz w:val="20"/>
          <w:szCs w:val="20"/>
          <w:lang w:val="en" w:eastAsia="sv-SE"/>
        </w:rPr>
        <w:t>), the fraction unbound (</w:t>
      </w:r>
      <w:proofErr w:type="spellStart"/>
      <w:r w:rsidRPr="001F6D93">
        <w:rPr>
          <w:rFonts w:ascii="Verdana" w:eastAsia="Times New Roman" w:hAnsi="Verdana" w:cs="Times New Roman"/>
          <w:i/>
          <w:iCs/>
          <w:color w:val="000000"/>
          <w:sz w:val="20"/>
          <w:szCs w:val="20"/>
          <w:lang w:val="en" w:eastAsia="sv-SE"/>
        </w:rPr>
        <w:t>f</w:t>
      </w:r>
      <w:r w:rsidRPr="001F6D93">
        <w:rPr>
          <w:rFonts w:ascii="Verdana" w:eastAsia="Times New Roman" w:hAnsi="Verdana" w:cs="Times New Roman"/>
          <w:color w:val="000000"/>
          <w:sz w:val="20"/>
          <w:szCs w:val="20"/>
          <w:vertAlign w:val="subscript"/>
          <w:lang w:val="en" w:eastAsia="sv-SE"/>
        </w:rPr>
        <w:t>u</w:t>
      </w:r>
      <w:proofErr w:type="spellEnd"/>
      <w:r w:rsidRPr="001F6D93">
        <w:rPr>
          <w:rFonts w:ascii="Verdana" w:eastAsia="Times New Roman" w:hAnsi="Verdana" w:cs="Times New Roman"/>
          <w:color w:val="000000"/>
          <w:sz w:val="20"/>
          <w:szCs w:val="20"/>
          <w:lang w:val="en" w:eastAsia="sv-SE"/>
        </w:rPr>
        <w:t>), and CL which must be optimized.</w:t>
      </w:r>
    </w:p>
    <w:p w:rsidR="001F6D93" w:rsidRPr="001F6D93" w:rsidRDefault="001F6D93" w:rsidP="001F6D93">
      <w:pPr>
        <w:shd w:val="clear" w:color="auto" w:fill="FFFFFF"/>
        <w:spacing w:before="240" w:after="240" w:line="240" w:lineRule="auto"/>
        <w:rPr>
          <w:rFonts w:ascii="Verdana" w:eastAsia="Times New Roman" w:hAnsi="Verdana" w:cs="Times New Roman"/>
          <w:color w:val="000000"/>
          <w:sz w:val="20"/>
          <w:szCs w:val="20"/>
          <w:lang w:val="en" w:eastAsia="sv-SE"/>
        </w:rPr>
      </w:pPr>
      <w:r w:rsidRPr="001F6D93">
        <w:rPr>
          <w:rFonts w:ascii="Verdana" w:eastAsia="Times New Roman" w:hAnsi="Verdana" w:cs="Times New Roman"/>
          <w:color w:val="000000"/>
          <w:sz w:val="20"/>
          <w:szCs w:val="20"/>
          <w:lang w:val="en" w:eastAsia="sv-SE"/>
        </w:rPr>
        <w:t xml:space="preserve">In “Dose, time and flow dependencies,” potential nonlinear and non-time constant properties are explored. This includes forms of target-mediated drug disposition (including </w:t>
      </w:r>
      <w:proofErr w:type="spellStart"/>
      <w:r w:rsidRPr="001F6D93">
        <w:rPr>
          <w:rFonts w:ascii="Verdana" w:eastAsia="Times New Roman" w:hAnsi="Verdana" w:cs="Times New Roman"/>
          <w:color w:val="000000"/>
          <w:sz w:val="20"/>
          <w:szCs w:val="20"/>
          <w:lang w:val="en" w:eastAsia="sv-SE"/>
        </w:rPr>
        <w:t>Michaelis</w:t>
      </w:r>
      <w:proofErr w:type="spellEnd"/>
      <w:r w:rsidRPr="001F6D93">
        <w:rPr>
          <w:rFonts w:ascii="Verdana" w:eastAsia="Times New Roman" w:hAnsi="Verdana" w:cs="Times New Roman"/>
          <w:color w:val="000000"/>
          <w:sz w:val="20"/>
          <w:szCs w:val="20"/>
          <w:lang w:val="en" w:eastAsia="sv-SE"/>
        </w:rPr>
        <w:t>–</w:t>
      </w:r>
      <w:proofErr w:type="spellStart"/>
      <w:r w:rsidRPr="001F6D93">
        <w:rPr>
          <w:rFonts w:ascii="Verdana" w:eastAsia="Times New Roman" w:hAnsi="Verdana" w:cs="Times New Roman"/>
          <w:color w:val="000000"/>
          <w:sz w:val="20"/>
          <w:szCs w:val="20"/>
          <w:lang w:val="en" w:eastAsia="sv-SE"/>
        </w:rPr>
        <w:t>Menten</w:t>
      </w:r>
      <w:proofErr w:type="spellEnd"/>
      <w:r w:rsidRPr="001F6D93">
        <w:rPr>
          <w:rFonts w:ascii="Verdana" w:eastAsia="Times New Roman" w:hAnsi="Verdana" w:cs="Times New Roman"/>
          <w:color w:val="000000"/>
          <w:sz w:val="20"/>
          <w:szCs w:val="20"/>
          <w:lang w:val="en" w:eastAsia="sv-SE"/>
        </w:rPr>
        <w:t xml:space="preserve"> </w:t>
      </w:r>
      <w:proofErr w:type="spellStart"/>
      <w:r w:rsidRPr="001F6D93">
        <w:rPr>
          <w:rFonts w:ascii="Verdana" w:eastAsia="Times New Roman" w:hAnsi="Verdana" w:cs="Times New Roman"/>
          <w:color w:val="000000"/>
          <w:sz w:val="20"/>
          <w:szCs w:val="20"/>
          <w:lang w:val="en" w:eastAsia="sv-SE"/>
        </w:rPr>
        <w:t>saturable</w:t>
      </w:r>
      <w:proofErr w:type="spellEnd"/>
      <w:r w:rsidRPr="001F6D93">
        <w:rPr>
          <w:rFonts w:ascii="Verdana" w:eastAsia="Times New Roman" w:hAnsi="Verdana" w:cs="Times New Roman"/>
          <w:color w:val="000000"/>
          <w:sz w:val="20"/>
          <w:szCs w:val="20"/>
          <w:lang w:val="en" w:eastAsia="sv-SE"/>
        </w:rPr>
        <w:t xml:space="preserve"> elimination), </w:t>
      </w:r>
      <w:proofErr w:type="spellStart"/>
      <w:r w:rsidRPr="001F6D93">
        <w:rPr>
          <w:rFonts w:ascii="Verdana" w:eastAsia="Times New Roman" w:hAnsi="Verdana" w:cs="Times New Roman"/>
          <w:color w:val="000000"/>
          <w:sz w:val="20"/>
          <w:szCs w:val="20"/>
          <w:lang w:val="en" w:eastAsia="sv-SE"/>
        </w:rPr>
        <w:t>saturable</w:t>
      </w:r>
      <w:proofErr w:type="spellEnd"/>
      <w:r w:rsidRPr="001F6D93">
        <w:rPr>
          <w:rFonts w:ascii="Verdana" w:eastAsia="Times New Roman" w:hAnsi="Verdana" w:cs="Times New Roman"/>
          <w:color w:val="000000"/>
          <w:sz w:val="20"/>
          <w:szCs w:val="20"/>
          <w:lang w:val="en" w:eastAsia="sv-SE"/>
        </w:rPr>
        <w:t xml:space="preserve"> transfer processes (e.g., absorption), and time-dependent changes such as induction of metabolism. Not forgetting, of course, that plasma protein binding can also be nonlinear and non-time constant.</w:t>
      </w:r>
    </w:p>
    <w:p w:rsidR="001F6D93" w:rsidRPr="001F6D93" w:rsidRDefault="001F6D93" w:rsidP="001F6D93">
      <w:pPr>
        <w:shd w:val="clear" w:color="auto" w:fill="FFFFFF"/>
        <w:spacing w:before="240" w:after="240" w:line="240" w:lineRule="auto"/>
        <w:rPr>
          <w:rFonts w:ascii="Verdana" w:eastAsia="Times New Roman" w:hAnsi="Verdana" w:cs="Times New Roman"/>
          <w:color w:val="000000"/>
          <w:sz w:val="20"/>
          <w:szCs w:val="20"/>
          <w:lang w:val="en" w:eastAsia="sv-SE"/>
        </w:rPr>
      </w:pPr>
      <w:r w:rsidRPr="001F6D93">
        <w:rPr>
          <w:rFonts w:ascii="Verdana" w:eastAsia="Times New Roman" w:hAnsi="Verdana" w:cs="Times New Roman"/>
          <w:color w:val="000000"/>
          <w:sz w:val="20"/>
          <w:szCs w:val="20"/>
          <w:lang w:val="en" w:eastAsia="sv-SE"/>
        </w:rPr>
        <w:t xml:space="preserve">In “Rapid concentration-response equilibria,” pharmacological concentration–effect relationships are introduced, including linear, logarithmic, exponential, and sigmoid </w:t>
      </w:r>
      <w:proofErr w:type="spellStart"/>
      <w:r w:rsidRPr="001F6D93">
        <w:rPr>
          <w:rFonts w:ascii="Verdana" w:eastAsia="Times New Roman" w:hAnsi="Verdana" w:cs="Times New Roman"/>
          <w:i/>
          <w:iCs/>
          <w:color w:val="000000"/>
          <w:sz w:val="20"/>
          <w:szCs w:val="20"/>
          <w:lang w:val="en" w:eastAsia="sv-SE"/>
        </w:rPr>
        <w:t>E</w:t>
      </w:r>
      <w:r w:rsidRPr="001F6D93">
        <w:rPr>
          <w:rFonts w:ascii="Verdana" w:eastAsia="Times New Roman" w:hAnsi="Verdana" w:cs="Times New Roman"/>
          <w:color w:val="000000"/>
          <w:sz w:val="20"/>
          <w:szCs w:val="20"/>
          <w:vertAlign w:val="subscript"/>
          <w:lang w:val="en" w:eastAsia="sv-SE"/>
        </w:rPr>
        <w:t>max</w:t>
      </w:r>
      <w:proofErr w:type="spellEnd"/>
      <w:r w:rsidRPr="001F6D93">
        <w:rPr>
          <w:rFonts w:ascii="Verdana" w:eastAsia="Times New Roman" w:hAnsi="Verdana" w:cs="Times New Roman"/>
          <w:color w:val="000000"/>
          <w:sz w:val="20"/>
          <w:szCs w:val="20"/>
          <w:lang w:val="en" w:eastAsia="sv-SE"/>
        </w:rPr>
        <w:t xml:space="preserve">. Also explained are experiments to generate appropriate data and how to decide between candidate models. Examples are given of how species differing concentration-responses can become similar once unbound drug concentrations are used. Slightly perplexing is the example with brain receptor binding, with the unexplained appearance of a </w:t>
      </w:r>
      <w:proofErr w:type="spellStart"/>
      <w:r w:rsidRPr="001F6D93">
        <w:rPr>
          <w:rFonts w:ascii="Verdana" w:eastAsia="Times New Roman" w:hAnsi="Verdana" w:cs="Times New Roman"/>
          <w:i/>
          <w:iCs/>
          <w:color w:val="000000"/>
          <w:sz w:val="20"/>
          <w:szCs w:val="20"/>
          <w:lang w:val="en" w:eastAsia="sv-SE"/>
        </w:rPr>
        <w:t>k</w:t>
      </w:r>
      <w:r w:rsidRPr="001F6D93">
        <w:rPr>
          <w:rFonts w:ascii="Verdana" w:eastAsia="Times New Roman" w:hAnsi="Verdana" w:cs="Times New Roman"/>
          <w:color w:val="000000"/>
          <w:sz w:val="20"/>
          <w:szCs w:val="20"/>
          <w:vertAlign w:val="subscript"/>
          <w:lang w:val="en" w:eastAsia="sv-SE"/>
        </w:rPr>
        <w:t>on</w:t>
      </w:r>
      <w:proofErr w:type="spellEnd"/>
      <w:r w:rsidRPr="001F6D93">
        <w:rPr>
          <w:rFonts w:ascii="Verdana" w:eastAsia="Times New Roman" w:hAnsi="Verdana" w:cs="Times New Roman"/>
          <w:color w:val="000000"/>
          <w:sz w:val="20"/>
          <w:szCs w:val="20"/>
          <w:lang w:val="en" w:eastAsia="sv-SE"/>
        </w:rPr>
        <w:t xml:space="preserve"> parameter to enable the estimation of the half-life of receptor dissociation from </w:t>
      </w:r>
      <w:proofErr w:type="spellStart"/>
      <w:r w:rsidRPr="001F6D93">
        <w:rPr>
          <w:rFonts w:ascii="Verdana" w:eastAsia="Times New Roman" w:hAnsi="Verdana" w:cs="Times New Roman"/>
          <w:i/>
          <w:iCs/>
          <w:color w:val="000000"/>
          <w:sz w:val="20"/>
          <w:szCs w:val="20"/>
          <w:lang w:val="en" w:eastAsia="sv-SE"/>
        </w:rPr>
        <w:t>k</w:t>
      </w:r>
      <w:r w:rsidRPr="001F6D93">
        <w:rPr>
          <w:rFonts w:ascii="Verdana" w:eastAsia="Times New Roman" w:hAnsi="Verdana" w:cs="Times New Roman"/>
          <w:color w:val="000000"/>
          <w:sz w:val="20"/>
          <w:szCs w:val="20"/>
          <w:vertAlign w:val="subscript"/>
          <w:lang w:val="en" w:eastAsia="sv-SE"/>
        </w:rPr>
        <w:t>off</w:t>
      </w:r>
      <w:proofErr w:type="spellEnd"/>
      <w:r w:rsidRPr="001F6D93">
        <w:rPr>
          <w:rFonts w:ascii="Verdana" w:eastAsia="Times New Roman" w:hAnsi="Verdana" w:cs="Times New Roman"/>
          <w:color w:val="000000"/>
          <w:sz w:val="20"/>
          <w:szCs w:val="20"/>
          <w:lang w:val="en" w:eastAsia="sv-SE"/>
        </w:rPr>
        <w:t xml:space="preserve">. All previous presentations used an equilibrium </w:t>
      </w:r>
      <w:r w:rsidRPr="001F6D93">
        <w:rPr>
          <w:rFonts w:ascii="Verdana" w:eastAsia="Times New Roman" w:hAnsi="Verdana" w:cs="Times New Roman"/>
          <w:i/>
          <w:iCs/>
          <w:color w:val="000000"/>
          <w:sz w:val="20"/>
          <w:szCs w:val="20"/>
          <w:lang w:val="en" w:eastAsia="sv-SE"/>
        </w:rPr>
        <w:t>K</w:t>
      </w:r>
      <w:r w:rsidRPr="001F6D93">
        <w:rPr>
          <w:rFonts w:ascii="Verdana" w:eastAsia="Times New Roman" w:hAnsi="Verdana" w:cs="Times New Roman"/>
          <w:color w:val="000000"/>
          <w:sz w:val="20"/>
          <w:szCs w:val="20"/>
          <w:vertAlign w:val="subscript"/>
          <w:lang w:val="en" w:eastAsia="sv-SE"/>
        </w:rPr>
        <w:t>D</w:t>
      </w:r>
      <w:r w:rsidRPr="001F6D93">
        <w:rPr>
          <w:rFonts w:ascii="Verdana" w:eastAsia="Times New Roman" w:hAnsi="Verdana" w:cs="Times New Roman"/>
          <w:color w:val="000000"/>
          <w:sz w:val="20"/>
          <w:szCs w:val="20"/>
          <w:lang w:val="en" w:eastAsia="sv-SE"/>
        </w:rPr>
        <w:t>. Perhaps, this is from the next chapter.</w:t>
      </w:r>
    </w:p>
    <w:p w:rsidR="001F6D93" w:rsidRPr="001F6D93" w:rsidRDefault="001F6D93" w:rsidP="001F6D93">
      <w:pPr>
        <w:shd w:val="clear" w:color="auto" w:fill="FFFFFF"/>
        <w:spacing w:before="240" w:after="240" w:line="240" w:lineRule="auto"/>
        <w:rPr>
          <w:rFonts w:ascii="Verdana" w:eastAsia="Times New Roman" w:hAnsi="Verdana" w:cs="Times New Roman"/>
          <w:color w:val="000000"/>
          <w:sz w:val="20"/>
          <w:szCs w:val="20"/>
          <w:lang w:val="en" w:eastAsia="sv-SE"/>
        </w:rPr>
      </w:pPr>
      <w:r w:rsidRPr="001F6D93">
        <w:rPr>
          <w:rFonts w:ascii="Verdana" w:eastAsia="Times New Roman" w:hAnsi="Verdana" w:cs="Times New Roman"/>
          <w:color w:val="000000"/>
          <w:sz w:val="20"/>
          <w:szCs w:val="20"/>
          <w:lang w:val="en" w:eastAsia="sv-SE"/>
        </w:rPr>
        <w:t>In “Time delays between plasma concentration and response,” three classes of PD model are described: distributional delay, turnover delay (</w:t>
      </w:r>
      <w:r w:rsidRPr="001F6D93">
        <w:rPr>
          <w:rFonts w:ascii="Verdana" w:eastAsia="Times New Roman" w:hAnsi="Verdana" w:cs="Times New Roman"/>
          <w:i/>
          <w:iCs/>
          <w:color w:val="000000"/>
          <w:sz w:val="20"/>
          <w:szCs w:val="20"/>
          <w:lang w:val="en" w:eastAsia="sv-SE"/>
        </w:rPr>
        <w:t>aka</w:t>
      </w:r>
      <w:r w:rsidRPr="001F6D93">
        <w:rPr>
          <w:rFonts w:ascii="Verdana" w:eastAsia="Times New Roman" w:hAnsi="Verdana" w:cs="Times New Roman"/>
          <w:color w:val="000000"/>
          <w:sz w:val="20"/>
          <w:szCs w:val="20"/>
          <w:lang w:val="en" w:eastAsia="sv-SE"/>
        </w:rPr>
        <w:t xml:space="preserve"> indirect response), and receptor on/off. These are well illustrated with clear graphics. The example in which PKPD modeling was used rather than direct summarization of washout data was interesting as it changed conclusions regarding safety margins. Of note was the example in which a “hit-and-run” single time point dose–response study design caused a 100% bias in the potency estimate of a candidate. Clearly, the authors advocate complete, integrative, time series PKPD analyses, i.e., “</w:t>
      </w:r>
      <w:r w:rsidRPr="001F6D93">
        <w:rPr>
          <w:rFonts w:ascii="Verdana" w:eastAsia="Times New Roman" w:hAnsi="Verdana" w:cs="Times New Roman"/>
          <w:i/>
          <w:iCs/>
          <w:color w:val="000000"/>
          <w:sz w:val="20"/>
          <w:szCs w:val="20"/>
          <w:lang w:val="en" w:eastAsia="sv-SE"/>
        </w:rPr>
        <w:t>Quantitative Pharmacology</w:t>
      </w:r>
      <w:r w:rsidRPr="001F6D93">
        <w:rPr>
          <w:rFonts w:ascii="Verdana" w:eastAsia="Times New Roman" w:hAnsi="Verdana" w:cs="Times New Roman"/>
          <w:color w:val="000000"/>
          <w:sz w:val="20"/>
          <w:szCs w:val="20"/>
          <w:lang w:val="en" w:eastAsia="sv-SE"/>
        </w:rPr>
        <w:t>” approaches.</w:t>
      </w:r>
    </w:p>
    <w:p w:rsidR="001F6D93" w:rsidRPr="001F6D93" w:rsidRDefault="001F6D93" w:rsidP="001F6D93">
      <w:pPr>
        <w:shd w:val="clear" w:color="auto" w:fill="FFFFFF"/>
        <w:spacing w:before="240" w:after="240" w:line="240" w:lineRule="auto"/>
        <w:rPr>
          <w:rFonts w:ascii="Verdana" w:eastAsia="Times New Roman" w:hAnsi="Verdana" w:cs="Times New Roman"/>
          <w:color w:val="000000"/>
          <w:sz w:val="20"/>
          <w:szCs w:val="20"/>
          <w:lang w:val="en" w:eastAsia="sv-SE"/>
        </w:rPr>
      </w:pPr>
      <w:r w:rsidRPr="001F6D93">
        <w:rPr>
          <w:rFonts w:ascii="Verdana" w:eastAsia="Times New Roman" w:hAnsi="Verdana" w:cs="Times New Roman"/>
          <w:color w:val="000000"/>
          <w:sz w:val="20"/>
          <w:szCs w:val="20"/>
          <w:lang w:val="en" w:eastAsia="sv-SE"/>
        </w:rPr>
        <w:t>Finally, in “Inter-species scaling,” information is integrated to scale preclinical PKPD models to man. The core steps are (</w:t>
      </w:r>
      <w:proofErr w:type="spellStart"/>
      <w:r w:rsidRPr="001F6D93">
        <w:rPr>
          <w:rFonts w:ascii="Verdana" w:eastAsia="Times New Roman" w:hAnsi="Verdana" w:cs="Times New Roman"/>
          <w:color w:val="000000"/>
          <w:sz w:val="20"/>
          <w:szCs w:val="20"/>
          <w:lang w:val="en" w:eastAsia="sv-SE"/>
        </w:rPr>
        <w:t>i</w:t>
      </w:r>
      <w:proofErr w:type="spellEnd"/>
      <w:r w:rsidRPr="001F6D93">
        <w:rPr>
          <w:rFonts w:ascii="Verdana" w:eastAsia="Times New Roman" w:hAnsi="Verdana" w:cs="Times New Roman"/>
          <w:color w:val="000000"/>
          <w:sz w:val="20"/>
          <w:szCs w:val="20"/>
          <w:lang w:val="en" w:eastAsia="sv-SE"/>
        </w:rPr>
        <w:t>) scale PK (only CL if steady-state concentrations required), (ii) translate pharmacology between species through unbound concentrations; if PD turnover required, scale by bodyweight to ¾ power; (iii) combine scaled PK and PD to produce a human dose prediction. However, importantly for human safety, there is step (</w:t>
      </w:r>
      <w:proofErr w:type="gramStart"/>
      <w:r w:rsidRPr="001F6D93">
        <w:rPr>
          <w:rFonts w:ascii="Verdana" w:eastAsia="Times New Roman" w:hAnsi="Verdana" w:cs="Times New Roman"/>
          <w:color w:val="000000"/>
          <w:sz w:val="20"/>
          <w:szCs w:val="20"/>
          <w:lang w:val="en" w:eastAsia="sv-SE"/>
        </w:rPr>
        <w:t>iv</w:t>
      </w:r>
      <w:proofErr w:type="gramEnd"/>
      <w:r w:rsidRPr="001F6D93">
        <w:rPr>
          <w:rFonts w:ascii="Verdana" w:eastAsia="Times New Roman" w:hAnsi="Verdana" w:cs="Times New Roman"/>
          <w:color w:val="000000"/>
          <w:sz w:val="20"/>
          <w:szCs w:val="20"/>
          <w:lang w:val="en" w:eastAsia="sv-SE"/>
        </w:rPr>
        <w:t>) which allows for uncertainty, the potential to be wrong, by giving ranges (e.g., half and double) of possible predicted CLs and effective unbound plasma concentrations.</w:t>
      </w:r>
    </w:p>
    <w:p w:rsidR="001F6D93" w:rsidRPr="001F6D93" w:rsidRDefault="001F6D93" w:rsidP="001F6D93">
      <w:pPr>
        <w:shd w:val="clear" w:color="auto" w:fill="FFFFFF"/>
        <w:spacing w:before="240" w:after="240" w:line="240" w:lineRule="auto"/>
        <w:rPr>
          <w:rFonts w:ascii="Verdana" w:eastAsia="Times New Roman" w:hAnsi="Verdana" w:cs="Times New Roman"/>
          <w:color w:val="000000"/>
          <w:sz w:val="20"/>
          <w:szCs w:val="20"/>
          <w:lang w:val="en" w:eastAsia="sv-SE"/>
        </w:rPr>
      </w:pPr>
      <w:r w:rsidRPr="001F6D93">
        <w:rPr>
          <w:rFonts w:ascii="Verdana" w:eastAsia="Times New Roman" w:hAnsi="Verdana" w:cs="Times New Roman"/>
          <w:color w:val="000000"/>
          <w:sz w:val="20"/>
          <w:szCs w:val="20"/>
          <w:lang w:val="en" w:eastAsia="sv-SE"/>
        </w:rPr>
        <w:t>Overall, this book is an easy introduction to “</w:t>
      </w:r>
      <w:r w:rsidRPr="001F6D93">
        <w:rPr>
          <w:rFonts w:ascii="Verdana" w:eastAsia="Times New Roman" w:hAnsi="Verdana" w:cs="Times New Roman"/>
          <w:i/>
          <w:iCs/>
          <w:color w:val="000000"/>
          <w:sz w:val="20"/>
          <w:szCs w:val="20"/>
          <w:lang w:val="en" w:eastAsia="sv-SE"/>
        </w:rPr>
        <w:t>Quantitative Pharmacology</w:t>
      </w:r>
      <w:r w:rsidRPr="001F6D93">
        <w:rPr>
          <w:rFonts w:ascii="Verdana" w:eastAsia="Times New Roman" w:hAnsi="Verdana" w:cs="Times New Roman"/>
          <w:color w:val="000000"/>
          <w:sz w:val="20"/>
          <w:szCs w:val="20"/>
          <w:lang w:val="en" w:eastAsia="sv-SE"/>
        </w:rPr>
        <w:t xml:space="preserve">.” I read cover to cover in two sessions plus a day’s travelling, without my eyes drooping. If you are a </w:t>
      </w:r>
      <w:proofErr w:type="spellStart"/>
      <w:r w:rsidRPr="001F6D93">
        <w:rPr>
          <w:rFonts w:ascii="Verdana" w:eastAsia="Times New Roman" w:hAnsi="Verdana" w:cs="Times New Roman"/>
          <w:color w:val="000000"/>
          <w:sz w:val="20"/>
          <w:szCs w:val="20"/>
          <w:lang w:val="en" w:eastAsia="sv-SE"/>
        </w:rPr>
        <w:t>nonkinetically</w:t>
      </w:r>
      <w:proofErr w:type="spellEnd"/>
      <w:r w:rsidRPr="001F6D93">
        <w:rPr>
          <w:rFonts w:ascii="Verdana" w:eastAsia="Times New Roman" w:hAnsi="Verdana" w:cs="Times New Roman"/>
          <w:color w:val="000000"/>
          <w:sz w:val="20"/>
          <w:szCs w:val="20"/>
          <w:lang w:val="en" w:eastAsia="sv-SE"/>
        </w:rPr>
        <w:t xml:space="preserve"> minded research pharmacologist, medicinal chemist, physician, veterinarian, or statistician, and are curious about what PKPD experts and modelers are up to and what they can deliver, it is well worth reading.</w:t>
      </w:r>
    </w:p>
    <w:p w:rsidR="002041E2" w:rsidRPr="001F6D93" w:rsidRDefault="002041E2">
      <w:pPr>
        <w:rPr>
          <w:lang w:val="en"/>
        </w:rPr>
      </w:pPr>
      <w:bookmarkStart w:id="1" w:name="_GoBack"/>
      <w:bookmarkEnd w:id="1"/>
    </w:p>
    <w:sectPr w:rsidR="002041E2" w:rsidRPr="001F6D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93"/>
    <w:rsid w:val="001F6D93"/>
    <w:rsid w:val="002041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D869B-E091-4464-A3C1-8E8E1C14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1F6D93"/>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F6D93"/>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1F6D93"/>
    <w:rPr>
      <w:color w:val="3366CC"/>
      <w:u w:val="single"/>
    </w:rPr>
  </w:style>
  <w:style w:type="paragraph" w:styleId="Normalwebb">
    <w:name w:val="Normal (Web)"/>
    <w:basedOn w:val="Normal"/>
    <w:uiPriority w:val="99"/>
    <w:semiHidden/>
    <w:unhideWhenUsed/>
    <w:rsid w:val="001F6D9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u">
    <w:name w:val="u"/>
    <w:basedOn w:val="Standardstycketeckensnitt"/>
    <w:rsid w:val="001F6D93"/>
    <w:rPr>
      <w:u w:val="single"/>
    </w:rPr>
  </w:style>
  <w:style w:type="character" w:customStyle="1" w:styleId="mb">
    <w:name w:val="mb"/>
    <w:basedOn w:val="Standardstycketeckensnitt"/>
    <w:rsid w:val="001F6D93"/>
    <w:rPr>
      <w:rFonts w:ascii="Arial Unicode MS" w:eastAsia="Arial Unicode MS" w:hAnsi="Arial Unicode MS" w:cs="Arial Unicode MS" w:hint="eastAsia"/>
      <w:vanish w:val="0"/>
      <w:webHidden w:val="0"/>
      <w:shd w:val="clear" w:color="auto" w:fill="auto"/>
      <w:specVanish w:val="0"/>
    </w:rPr>
  </w:style>
  <w:style w:type="paragraph" w:customStyle="1" w:styleId="norm13">
    <w:name w:val="norm13"/>
    <w:basedOn w:val="Normal"/>
    <w:rsid w:val="001F6D93"/>
    <w:pPr>
      <w:spacing w:before="240" w:after="240" w:line="240" w:lineRule="auto"/>
    </w:pPr>
    <w:rPr>
      <w:rFonts w:ascii="Times New Roman" w:eastAsia="Times New Roman" w:hAnsi="Times New Roman" w:cs="Times New Roman"/>
      <w:lang w:eastAsia="sv-SE"/>
    </w:rPr>
  </w:style>
  <w:style w:type="character" w:customStyle="1" w:styleId="open-flag4">
    <w:name w:val="open-flag4"/>
    <w:basedOn w:val="Standardstycketeckensnitt"/>
    <w:rsid w:val="001F6D93"/>
    <w:rPr>
      <w:strike w:val="0"/>
      <w:dstrike w:val="0"/>
      <w:color w:val="F5821F"/>
      <w:sz w:val="19"/>
      <w:szCs w:val="19"/>
      <w:u w:val="none"/>
      <w:effect w:val="none"/>
    </w:rPr>
  </w:style>
  <w:style w:type="paragraph" w:customStyle="1" w:styleId="caff3">
    <w:name w:val="caff3"/>
    <w:basedOn w:val="Normal"/>
    <w:rsid w:val="001F6D93"/>
    <w:pPr>
      <w:spacing w:before="100" w:beforeAutospacing="1" w:after="100" w:afterAutospacing="1" w:line="240" w:lineRule="auto"/>
    </w:pPr>
    <w:rPr>
      <w:rFonts w:ascii="Times New Roman" w:eastAsia="Times New Roman" w:hAnsi="Times New Roman" w:cs="Times New Roman"/>
      <w:sz w:val="17"/>
      <w:szCs w:val="17"/>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102492">
      <w:bodyDiv w:val="1"/>
      <w:marLeft w:val="0"/>
      <w:marRight w:val="0"/>
      <w:marTop w:val="0"/>
      <w:marBottom w:val="0"/>
      <w:divBdr>
        <w:top w:val="none" w:sz="0" w:space="0" w:color="auto"/>
        <w:left w:val="none" w:sz="0" w:space="0" w:color="auto"/>
        <w:bottom w:val="none" w:sz="0" w:space="0" w:color="auto"/>
        <w:right w:val="none" w:sz="0" w:space="0" w:color="auto"/>
      </w:divBdr>
      <w:divsChild>
        <w:div w:id="157622674">
          <w:marLeft w:val="1"/>
          <w:marRight w:val="0"/>
          <w:marTop w:val="0"/>
          <w:marBottom w:val="0"/>
          <w:divBdr>
            <w:top w:val="single" w:sz="6" w:space="0" w:color="FFFFFF"/>
            <w:left w:val="none" w:sz="0" w:space="0" w:color="auto"/>
            <w:bottom w:val="none" w:sz="0" w:space="0" w:color="auto"/>
            <w:right w:val="none" w:sz="0" w:space="0" w:color="auto"/>
          </w:divBdr>
          <w:divsChild>
            <w:div w:id="567112365">
              <w:marLeft w:val="0"/>
              <w:marRight w:val="0"/>
              <w:marTop w:val="0"/>
              <w:marBottom w:val="0"/>
              <w:divBdr>
                <w:top w:val="none" w:sz="0" w:space="0" w:color="auto"/>
                <w:left w:val="none" w:sz="0" w:space="0" w:color="auto"/>
                <w:bottom w:val="none" w:sz="0" w:space="0" w:color="auto"/>
                <w:right w:val="none" w:sz="0" w:space="0" w:color="auto"/>
              </w:divBdr>
              <w:divsChild>
                <w:div w:id="824054368">
                  <w:marLeft w:val="0"/>
                  <w:marRight w:val="0"/>
                  <w:marTop w:val="0"/>
                  <w:marBottom w:val="0"/>
                  <w:divBdr>
                    <w:top w:val="none" w:sz="0" w:space="0" w:color="auto"/>
                    <w:left w:val="none" w:sz="0" w:space="0" w:color="auto"/>
                    <w:bottom w:val="none" w:sz="0" w:space="0" w:color="auto"/>
                    <w:right w:val="none" w:sz="0" w:space="0" w:color="auto"/>
                  </w:divBdr>
                </w:div>
                <w:div w:id="210149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mailto:phil.lowe@novartis.com" TargetMode="External"/><Relationship Id="rId4" Type="http://schemas.openxmlformats.org/officeDocument/2006/relationships/hyperlink" Target="http://www.nature.com/psp/journal/v1/n12/full/psp201219a.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4521</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Andersson</dc:creator>
  <cp:keywords/>
  <dc:description/>
  <cp:lastModifiedBy>Yvonne Andersson</cp:lastModifiedBy>
  <cp:revision>1</cp:revision>
  <dcterms:created xsi:type="dcterms:W3CDTF">2014-11-24T12:46:00Z</dcterms:created>
  <dcterms:modified xsi:type="dcterms:W3CDTF">2014-11-24T12:47:00Z</dcterms:modified>
</cp:coreProperties>
</file>